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AE" w:rsidRPr="00C932AE" w:rsidRDefault="00C932AE" w:rsidP="00C932AE">
      <w:pPr>
        <w:pStyle w:val="Ttulo1"/>
        <w:ind w:right="113"/>
        <w:jc w:val="center"/>
        <w:rPr>
          <w:rFonts w:asciiTheme="minorHAnsi" w:hAnsiTheme="minorHAnsi" w:cs="Calibri"/>
          <w:b/>
          <w:sz w:val="22"/>
          <w:szCs w:val="22"/>
          <w:u w:val="single"/>
          <w:lang w:val="pt-BR"/>
        </w:rPr>
      </w:pPr>
      <w:r w:rsidRPr="00C932AE">
        <w:rPr>
          <w:rFonts w:asciiTheme="minorHAnsi" w:hAnsiTheme="minorHAnsi" w:cs="Calibri"/>
          <w:b/>
          <w:sz w:val="22"/>
          <w:szCs w:val="22"/>
          <w:u w:val="single"/>
        </w:rPr>
        <w:t>PARECER DA CENTRAL DE LICITAÇÕES PÚBLICAS</w:t>
      </w:r>
    </w:p>
    <w:p w:rsidR="00C932AE" w:rsidRPr="00C932AE" w:rsidRDefault="00C932AE" w:rsidP="00C932AE">
      <w:pPr>
        <w:rPr>
          <w:rFonts w:asciiTheme="minorHAnsi" w:hAnsiTheme="minorHAnsi" w:cs="Calibri"/>
          <w:b/>
          <w:sz w:val="22"/>
          <w:szCs w:val="22"/>
        </w:rPr>
      </w:pPr>
    </w:p>
    <w:p w:rsidR="00C932AE" w:rsidRPr="00C932AE" w:rsidRDefault="00C932AE" w:rsidP="00C932AE">
      <w:pPr>
        <w:spacing w:after="120"/>
        <w:ind w:right="11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b/>
          <w:sz w:val="22"/>
          <w:szCs w:val="22"/>
        </w:rPr>
        <w:t xml:space="preserve">ASSUNTO: </w:t>
      </w:r>
      <w:r w:rsidRPr="00C932AE">
        <w:rPr>
          <w:rFonts w:asciiTheme="minorHAnsi" w:hAnsiTheme="minorHAnsi" w:cs="Calibri"/>
          <w:bCs/>
          <w:sz w:val="22"/>
          <w:szCs w:val="22"/>
        </w:rPr>
        <w:t>Prestação de serviços técnicos profissionais de assessoria e consultoria jurídica de acompanhamento de processos de interesse do Município, junto ao poder Judiciário (Tribunal de Justiça do Estado do Piauí, TRT 22ª Região e TRF 1ª Região) bem como perante os Tribunais Superiores (STF, STJ e TST)</w:t>
      </w:r>
      <w:r w:rsidRPr="00C932AE">
        <w:rPr>
          <w:rFonts w:asciiTheme="minorHAnsi" w:hAnsiTheme="minorHAnsi" w:cs="Calibri"/>
          <w:sz w:val="22"/>
          <w:szCs w:val="22"/>
        </w:rPr>
        <w:t>.</w:t>
      </w:r>
    </w:p>
    <w:p w:rsidR="00C932AE" w:rsidRPr="00C932AE" w:rsidRDefault="00C932AE" w:rsidP="00C932AE">
      <w:pPr>
        <w:spacing w:after="120"/>
        <w:ind w:right="113"/>
        <w:rPr>
          <w:rFonts w:asciiTheme="minorHAnsi" w:hAnsiTheme="minorHAnsi" w:cs="Calibri"/>
          <w:b/>
          <w:sz w:val="22"/>
          <w:szCs w:val="22"/>
        </w:rPr>
      </w:pPr>
      <w:r w:rsidRPr="00C932AE">
        <w:rPr>
          <w:rFonts w:asciiTheme="minorHAnsi" w:hAnsiTheme="minorHAnsi" w:cs="Calibri"/>
          <w:b/>
          <w:sz w:val="22"/>
          <w:szCs w:val="22"/>
        </w:rPr>
        <w:t>REF.: PROCESSO DE INEXIGIBILIDADE Nº 003/2017.</w:t>
      </w:r>
    </w:p>
    <w:p w:rsidR="00C932AE" w:rsidRPr="00C932AE" w:rsidRDefault="00C932AE" w:rsidP="00C932AE">
      <w:pPr>
        <w:spacing w:after="120"/>
        <w:ind w:right="11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Ilustríssimo Senhor Prefeito Municipal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A Central de Licitações Públicas, nomeada através de Portaria, vem à presença de V. </w:t>
      </w:r>
      <w:proofErr w:type="spellStart"/>
      <w:r w:rsidRPr="00C932AE">
        <w:rPr>
          <w:rFonts w:asciiTheme="minorHAnsi" w:hAnsiTheme="minorHAnsi" w:cs="Calibri"/>
          <w:sz w:val="22"/>
          <w:szCs w:val="22"/>
        </w:rPr>
        <w:t>Sª</w:t>
      </w:r>
      <w:proofErr w:type="spellEnd"/>
      <w:r w:rsidRPr="00C932AE">
        <w:rPr>
          <w:rFonts w:asciiTheme="minorHAnsi" w:hAnsiTheme="minorHAnsi" w:cs="Calibri"/>
          <w:sz w:val="22"/>
          <w:szCs w:val="22"/>
        </w:rPr>
        <w:t>., apresentar o resultado dos trabalhos referente ao procedimento licitatório de inexigibilidade, nº 005/2017, o que faz através do seguinte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>:</w:t>
      </w:r>
    </w:p>
    <w:p w:rsidR="00C932AE" w:rsidRPr="00C932AE" w:rsidRDefault="00C932AE" w:rsidP="00C932AE">
      <w:pPr>
        <w:ind w:right="7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932AE">
        <w:rPr>
          <w:rFonts w:asciiTheme="minorHAnsi" w:hAnsiTheme="minorHAnsi"/>
          <w:b/>
          <w:sz w:val="22"/>
          <w:szCs w:val="22"/>
          <w:u w:val="single"/>
        </w:rPr>
        <w:t>DO RELATÓRIO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Em conformidade com a Lei nº 8.666/93 c/c a Lei nº 8.883/94, a Central de Licitações Públicas reuniu-se com todos os seus membros, em hora, dia e local determinado, tendo naquela ocasião analisado a documentação constante nos autos deste procedimento. 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C932AE">
        <w:rPr>
          <w:rFonts w:asciiTheme="minorHAnsi" w:hAnsiTheme="minorHAnsi" w:cs="Calibri"/>
          <w:sz w:val="22"/>
          <w:szCs w:val="22"/>
        </w:rPr>
        <w:t>Conforme as características dos serviços objeto deste procedimento e do orçamento encaminhados a esta Prefeitura, esta Central de Licitações Públicas verificou que os serviços requeridos enquadram-se no rol de serviços técnicos profissionais especializados, constantes do artigo 13 da Lei nº 8.666/93, no inciso V, sendo assim, inexigível a licitação nos termos do artigo 25, inciso II, do mesmo diploma legal.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Concluiu-se ainda, que o 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>escritório</w:t>
      </w:r>
      <w:r w:rsidRPr="00C932AE">
        <w:rPr>
          <w:rFonts w:asciiTheme="minorHAnsi" w:hAnsiTheme="minorHAnsi" w:cs="Calibri"/>
          <w:sz w:val="22"/>
          <w:szCs w:val="22"/>
        </w:rPr>
        <w:t xml:space="preserve"> </w:t>
      </w:r>
      <w:r w:rsidRPr="00C932AE">
        <w:rPr>
          <w:rFonts w:asciiTheme="minorHAnsi" w:hAnsiTheme="minorHAnsi" w:cs="Calibri"/>
          <w:b/>
          <w:sz w:val="22"/>
          <w:szCs w:val="22"/>
        </w:rPr>
        <w:t xml:space="preserve">GUIMARÃES &amp; AMORIM ADVOGADOS ASSOCIADOS </w:t>
      </w:r>
      <w:r w:rsidRPr="00C932AE">
        <w:rPr>
          <w:rFonts w:asciiTheme="minorHAnsi" w:hAnsiTheme="minorHAnsi" w:cs="Calibri"/>
          <w:sz w:val="22"/>
          <w:szCs w:val="22"/>
        </w:rPr>
        <w:t xml:space="preserve"> já está no mercado 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>de trabalho</w:t>
      </w:r>
      <w:r w:rsidRPr="00C932AE">
        <w:rPr>
          <w:rFonts w:asciiTheme="minorHAnsi" w:hAnsiTheme="minorHAnsi" w:cs="Calibri"/>
          <w:sz w:val="22"/>
          <w:szCs w:val="22"/>
        </w:rPr>
        <w:t>,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 xml:space="preserve"> com profissionais gabaritados e </w:t>
      </w:r>
      <w:r w:rsidRPr="00C932AE">
        <w:rPr>
          <w:rFonts w:asciiTheme="minorHAnsi" w:hAnsiTheme="minorHAnsi" w:cs="Calibri"/>
          <w:sz w:val="22"/>
          <w:szCs w:val="22"/>
        </w:rPr>
        <w:t>apresent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>ou</w:t>
      </w:r>
      <w:r w:rsidRPr="00C932AE">
        <w:rPr>
          <w:rFonts w:asciiTheme="minorHAnsi" w:hAnsiTheme="minorHAnsi" w:cs="Calibri"/>
          <w:sz w:val="22"/>
          <w:szCs w:val="22"/>
        </w:rPr>
        <w:t xml:space="preserve"> orçamento compatível com os praticados no mercado para realização dos serviços, com o valor mensal de 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 xml:space="preserve">R$ </w:t>
      </w:r>
      <w:r w:rsidRPr="00C932AE">
        <w:rPr>
          <w:rFonts w:asciiTheme="minorHAnsi" w:hAnsiTheme="minorHAnsi" w:cs="Calibri"/>
          <w:sz w:val="22"/>
          <w:szCs w:val="22"/>
        </w:rPr>
        <w:t>13.000,00 (treze mil reais).</w:t>
      </w:r>
    </w:p>
    <w:p w:rsidR="00C932AE" w:rsidRPr="00C932AE" w:rsidRDefault="00C932AE" w:rsidP="00C932AE">
      <w:pPr>
        <w:tabs>
          <w:tab w:val="left" w:pos="3969"/>
        </w:tabs>
        <w:ind w:left="720" w:right="7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932AE">
        <w:rPr>
          <w:rFonts w:asciiTheme="minorHAnsi" w:hAnsiTheme="minorHAnsi"/>
          <w:b/>
          <w:sz w:val="22"/>
          <w:szCs w:val="22"/>
          <w:u w:val="single"/>
        </w:rPr>
        <w:t>DA CONC</w:t>
      </w:r>
      <w:r>
        <w:rPr>
          <w:rFonts w:asciiTheme="minorHAnsi" w:hAnsiTheme="minorHAnsi"/>
          <w:b/>
          <w:sz w:val="22"/>
          <w:szCs w:val="22"/>
          <w:u w:val="single"/>
        </w:rPr>
        <w:t>LUSÃO</w:t>
      </w:r>
    </w:p>
    <w:p w:rsidR="00C932AE" w:rsidRPr="00C932AE" w:rsidRDefault="00C932AE" w:rsidP="00C932AE">
      <w:pPr>
        <w:tabs>
          <w:tab w:val="left" w:pos="3969"/>
        </w:tabs>
        <w:jc w:val="both"/>
        <w:rPr>
          <w:rFonts w:asciiTheme="minorHAnsi" w:hAnsiTheme="minorHAnsi"/>
          <w:sz w:val="22"/>
          <w:szCs w:val="22"/>
        </w:rPr>
      </w:pPr>
      <w:r w:rsidRPr="00C932AE">
        <w:rPr>
          <w:rFonts w:asciiTheme="minorHAnsi" w:hAnsiTheme="minorHAnsi"/>
          <w:sz w:val="22"/>
          <w:szCs w:val="22"/>
        </w:rPr>
        <w:t xml:space="preserve">                                 Examinando os fatos a luz dos princípios da eficiência e razoabilidade, judicioso é o entendimento de que as disposições ilustrativas do art. 25 da Lei 8.666/93, tem diretriz casos em que a adoção do procedimento da contratação direta imponha a previa e necessária </w:t>
      </w:r>
      <w:r w:rsidRPr="00C932AE">
        <w:rPr>
          <w:rFonts w:asciiTheme="minorHAnsi" w:hAnsiTheme="minorHAnsi"/>
          <w:b/>
          <w:sz w:val="22"/>
          <w:szCs w:val="22"/>
          <w:u w:val="single"/>
        </w:rPr>
        <w:t>demonstração e comprova de sua real possibilidade para a Administração, como forma de evitar o desvio de sua finalidade</w:t>
      </w:r>
      <w:r w:rsidRPr="00C932AE">
        <w:rPr>
          <w:rFonts w:asciiTheme="minorHAnsi" w:hAnsiTheme="minorHAnsi"/>
          <w:sz w:val="22"/>
          <w:szCs w:val="22"/>
        </w:rPr>
        <w:t>, vez que visa resguardar a melho</w:t>
      </w:r>
      <w:r>
        <w:rPr>
          <w:rFonts w:asciiTheme="minorHAnsi" w:hAnsiTheme="minorHAnsi"/>
          <w:sz w:val="22"/>
          <w:szCs w:val="22"/>
        </w:rPr>
        <w:t>r vantagem e opção para erário.</w:t>
      </w:r>
    </w:p>
    <w:p w:rsidR="00C932AE" w:rsidRPr="00C932AE" w:rsidRDefault="00C932AE" w:rsidP="00C932AE">
      <w:pPr>
        <w:tabs>
          <w:tab w:val="left" w:pos="3969"/>
        </w:tabs>
        <w:ind w:right="720"/>
        <w:jc w:val="both"/>
        <w:rPr>
          <w:rFonts w:asciiTheme="minorHAnsi" w:hAnsiTheme="minorHAnsi"/>
          <w:sz w:val="22"/>
          <w:szCs w:val="22"/>
        </w:rPr>
      </w:pPr>
      <w:r w:rsidRPr="00C932AE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C932AE">
        <w:rPr>
          <w:rFonts w:asciiTheme="minorHAnsi" w:hAnsiTheme="minorHAnsi"/>
          <w:sz w:val="22"/>
          <w:szCs w:val="22"/>
        </w:rPr>
        <w:t>Em se tratando de situação que recomenda ou determina a contratação, na forma da lei nº 8.666/93, de 21/06/1993, que regulamenta o art. 37, da Constituição Federal. Levaram-se em consideração as características do profissional contratado, a qualificação individual</w:t>
      </w:r>
      <w:r w:rsidRPr="00C932AE">
        <w:rPr>
          <w:rFonts w:asciiTheme="minorHAnsi" w:hAnsiTheme="minorHAnsi"/>
          <w:sz w:val="22"/>
          <w:szCs w:val="22"/>
        </w:rPr>
        <w:t xml:space="preserve">, a experiência e a confiança. </w:t>
      </w:r>
    </w:p>
    <w:p w:rsidR="00C932AE" w:rsidRPr="00C932AE" w:rsidRDefault="00C932AE" w:rsidP="00C932AE">
      <w:pPr>
        <w:pStyle w:val="Recuodecorpodetexto"/>
        <w:tabs>
          <w:tab w:val="left" w:pos="8763"/>
        </w:tabs>
        <w:ind w:left="0" w:right="11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Corrente (PI), 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>18</w:t>
      </w:r>
      <w:r w:rsidRPr="00C932AE">
        <w:rPr>
          <w:rFonts w:asciiTheme="minorHAnsi" w:hAnsiTheme="minorHAnsi" w:cs="Calibri"/>
          <w:sz w:val="22"/>
          <w:szCs w:val="22"/>
        </w:rPr>
        <w:t xml:space="preserve"> de janeiro de 2017.</w:t>
      </w:r>
    </w:p>
    <w:p w:rsidR="00C932AE" w:rsidRPr="00C932AE" w:rsidRDefault="00C932AE" w:rsidP="00C932AE">
      <w:pPr>
        <w:pStyle w:val="Recuodecorpodetexto"/>
        <w:spacing w:after="0"/>
        <w:ind w:left="0" w:right="113"/>
        <w:rPr>
          <w:rFonts w:asciiTheme="minorHAnsi" w:hAnsiTheme="minorHAnsi" w:cs="Calibri"/>
          <w:b/>
          <w:sz w:val="22"/>
          <w:szCs w:val="22"/>
          <w:lang w:val="pt-BR"/>
        </w:rPr>
      </w:pPr>
      <w:r w:rsidRPr="00C932AE">
        <w:rPr>
          <w:rFonts w:asciiTheme="minorHAnsi" w:hAnsiTheme="minorHAnsi" w:cs="Calibri"/>
          <w:b/>
          <w:sz w:val="22"/>
          <w:szCs w:val="22"/>
        </w:rPr>
        <w:t>__________________________________</w:t>
      </w:r>
      <w:r w:rsidRPr="00C932AE">
        <w:rPr>
          <w:rFonts w:asciiTheme="minorHAnsi" w:hAnsiTheme="minorHAnsi" w:cs="Calibri"/>
          <w:b/>
          <w:sz w:val="22"/>
          <w:szCs w:val="22"/>
          <w:lang w:val="pt-BR"/>
        </w:rPr>
        <w:t>______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Jéssica de Souza Lima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Presidente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Emídio Pereira da Silva Neto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Membro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_______________________________________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Joel Carlos Rodrigues Barbosa</w:t>
      </w:r>
    </w:p>
    <w:p w:rsidR="00C932AE" w:rsidRPr="00C932AE" w:rsidRDefault="00C932AE" w:rsidP="00C932AE">
      <w:pPr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Membro</w:t>
      </w:r>
    </w:p>
    <w:p w:rsidR="00C932AE" w:rsidRPr="00C932AE" w:rsidRDefault="00C932AE" w:rsidP="00C932AE">
      <w:pPr>
        <w:pStyle w:val="Ttulo1"/>
        <w:spacing w:line="360" w:lineRule="auto"/>
        <w:ind w:right="113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C932AE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PARECER JURÍDICO</w:t>
      </w:r>
    </w:p>
    <w:p w:rsidR="00C932AE" w:rsidRPr="00C932AE" w:rsidRDefault="00C932AE" w:rsidP="00C932AE">
      <w:pPr>
        <w:spacing w:line="360" w:lineRule="auto"/>
        <w:ind w:right="11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32AE">
        <w:rPr>
          <w:rFonts w:asciiTheme="minorHAnsi" w:hAnsiTheme="minorHAnsi" w:cs="Calibri"/>
          <w:b/>
          <w:bCs/>
          <w:sz w:val="22"/>
          <w:szCs w:val="22"/>
        </w:rPr>
        <w:t xml:space="preserve">REFERÊNCIA: PROCESSO DE INEXIGIBILIDADE Nº </w:t>
      </w:r>
      <w:r w:rsidRPr="00C932AE">
        <w:rPr>
          <w:rFonts w:asciiTheme="minorHAnsi" w:hAnsiTheme="minorHAnsi" w:cs="Calibri"/>
          <w:b/>
          <w:bCs/>
          <w:sz w:val="22"/>
          <w:szCs w:val="22"/>
        </w:rPr>
        <w:t>003</w:t>
      </w:r>
      <w:r w:rsidRPr="00C932AE">
        <w:rPr>
          <w:rFonts w:asciiTheme="minorHAnsi" w:hAnsiTheme="minorHAnsi" w:cs="Calibri"/>
          <w:b/>
          <w:bCs/>
          <w:sz w:val="22"/>
          <w:szCs w:val="22"/>
        </w:rPr>
        <w:t>/2017.</w:t>
      </w:r>
    </w:p>
    <w:p w:rsidR="00C932AE" w:rsidRPr="00C932AE" w:rsidRDefault="00C932AE" w:rsidP="00C932AE">
      <w:pPr>
        <w:spacing w:line="360" w:lineRule="auto"/>
        <w:ind w:right="11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C932AE" w:rsidRPr="00C932AE" w:rsidRDefault="00C932AE" w:rsidP="00C932AE">
      <w:pPr>
        <w:pStyle w:val="Textoembloco"/>
        <w:ind w:left="2268"/>
        <w:rPr>
          <w:rFonts w:asciiTheme="minorHAnsi" w:hAnsiTheme="minorHAnsi" w:cs="Calibri"/>
          <w:szCs w:val="22"/>
        </w:rPr>
      </w:pPr>
      <w:r w:rsidRPr="00C932AE">
        <w:rPr>
          <w:rFonts w:asciiTheme="minorHAnsi" w:hAnsiTheme="minorHAnsi" w:cs="Calibri"/>
          <w:szCs w:val="22"/>
        </w:rPr>
        <w:t xml:space="preserve">ADMINISTRATIVO. LICITAÇÃO. INEXIGIBILIDADE. Serviços especializados de assessoria e consultoria jurídica. Analise jurídica sobre a regularidade da contratação direta referente ao processo de inexigibilidade de licitação nº </w:t>
      </w:r>
      <w:r w:rsidRPr="00C932AE">
        <w:rPr>
          <w:rFonts w:asciiTheme="minorHAnsi" w:hAnsiTheme="minorHAnsi" w:cs="Calibri"/>
          <w:szCs w:val="22"/>
        </w:rPr>
        <w:t>003</w:t>
      </w:r>
      <w:r w:rsidRPr="00C932AE">
        <w:rPr>
          <w:rFonts w:asciiTheme="minorHAnsi" w:hAnsiTheme="minorHAnsi" w:cs="Calibri"/>
          <w:szCs w:val="22"/>
        </w:rPr>
        <w:t>/2017.</w:t>
      </w:r>
    </w:p>
    <w:p w:rsidR="00C932AE" w:rsidRPr="00C932AE" w:rsidRDefault="00C932AE" w:rsidP="00C932AE">
      <w:pPr>
        <w:spacing w:line="360" w:lineRule="auto"/>
        <w:ind w:right="11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spacing w:line="360" w:lineRule="auto"/>
        <w:ind w:right="11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Ilmo. </w:t>
      </w:r>
      <w:proofErr w:type="gramStart"/>
      <w:r w:rsidRPr="00C932AE">
        <w:rPr>
          <w:rFonts w:asciiTheme="minorHAnsi" w:hAnsiTheme="minorHAnsi" w:cs="Calibri"/>
          <w:sz w:val="22"/>
          <w:szCs w:val="22"/>
        </w:rPr>
        <w:t>Sr.</w:t>
      </w:r>
      <w:proofErr w:type="gramEnd"/>
      <w:r w:rsidRPr="00C932AE">
        <w:rPr>
          <w:rFonts w:asciiTheme="minorHAnsi" w:hAnsiTheme="minorHAnsi" w:cs="Calibri"/>
          <w:sz w:val="22"/>
          <w:szCs w:val="22"/>
        </w:rPr>
        <w:t xml:space="preserve"> Prefeito Municipal,</w:t>
      </w: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O Gabinete do Prefeito, em atendimento ao que dispõe a Lei nº 8.666/93, submete à apreciação desta assessoria o procedimento administrativo, que culminou na inexigibilidade do processo licitatório para contratação de 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 xml:space="preserve">serviços </w:t>
      </w:r>
      <w:r w:rsidRPr="00C932AE">
        <w:rPr>
          <w:rFonts w:asciiTheme="minorHAnsi" w:hAnsiTheme="minorHAnsi" w:cs="Calibri"/>
          <w:sz w:val="22"/>
          <w:szCs w:val="22"/>
        </w:rPr>
        <w:t>especializados de assessoria e consultoria jurídica, nos termos do art. 25, inciso II c/c e art. 13, inciso II, todos do diploma legal acima citado.</w:t>
      </w: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  <w:lang w:val="pt-BR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Dos autos do processo, constam todos os documentos requeridos pela Lei nº 8.666/93, suficientes para desencadear regularmente o procedimento.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b/>
          <w:sz w:val="22"/>
          <w:szCs w:val="22"/>
        </w:rPr>
      </w:pPr>
      <w:r w:rsidRPr="00C932AE">
        <w:rPr>
          <w:rFonts w:asciiTheme="minorHAnsi" w:hAnsiTheme="minorHAnsi" w:cs="Calibri"/>
          <w:b/>
          <w:sz w:val="22"/>
          <w:szCs w:val="22"/>
        </w:rPr>
        <w:t>É o relatório, passamos a opinar.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O procedimento administrativo em análise seguiu todos os requisitos formais e materiais previstos em lei, inclusive em relação ao que dispõe o art. 26, em seu parágrafo único, da Lei nº 8.666/93.</w:t>
      </w: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Tendo em vista que a execução direta dos serviços implicaria em uma estrutura de alto porte e que o Município de Corrente não dispõe de condições técnicas e de recursos humanos especializados para desenvolver os serviços de objeto deste processo, mostra-se indispensável a contratação de empresa e profissionais de especialidade técnica comprovada para prestação dos serviços.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Ressalta-se, que os serviços prestados por tais profissionais, devem ser essenciais e adequados à plena satisfação do objeto do contrato, buscando aperfeiçoar a prestação dos serviços públicos de interesse da coletividade.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Convém observar que o objeto do contrato está previsto na Lei nº 8.666/93, em seu artigo 13, inciso V, vejamos: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ind w:left="3366" w:right="113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932AE">
        <w:rPr>
          <w:rFonts w:asciiTheme="minorHAnsi" w:hAnsiTheme="minorHAnsi" w:cs="Calibri"/>
          <w:i/>
          <w:iCs/>
          <w:sz w:val="22"/>
          <w:szCs w:val="22"/>
        </w:rPr>
        <w:t xml:space="preserve">“Art. 13. Para fins desta lei, consideram-se </w:t>
      </w:r>
      <w:r w:rsidRPr="00C932AE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serviços técnicos profissionais especializados </w:t>
      </w:r>
      <w:r w:rsidRPr="00C932AE">
        <w:rPr>
          <w:rFonts w:asciiTheme="minorHAnsi" w:hAnsiTheme="minorHAnsi" w:cs="Calibri"/>
          <w:i/>
          <w:iCs/>
          <w:sz w:val="22"/>
          <w:szCs w:val="22"/>
        </w:rPr>
        <w:t>os trabalhos relativos a:</w:t>
      </w:r>
    </w:p>
    <w:p w:rsidR="00C932AE" w:rsidRPr="00C932AE" w:rsidRDefault="00C932AE" w:rsidP="00C932AE">
      <w:pPr>
        <w:pStyle w:val="Recuodecorpodetexto"/>
        <w:ind w:left="3366" w:right="113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932AE">
        <w:rPr>
          <w:rFonts w:asciiTheme="minorHAnsi" w:hAnsiTheme="minorHAnsi" w:cs="Calibri"/>
          <w:i/>
          <w:iCs/>
          <w:sz w:val="22"/>
          <w:szCs w:val="22"/>
        </w:rPr>
        <w:t>(...)</w:t>
      </w:r>
    </w:p>
    <w:p w:rsidR="00C932AE" w:rsidRPr="00C932AE" w:rsidRDefault="00C932AE" w:rsidP="00C932AE">
      <w:pPr>
        <w:pStyle w:val="Recuodecorpodetexto"/>
        <w:ind w:left="3366" w:right="113"/>
        <w:jc w:val="both"/>
        <w:rPr>
          <w:rFonts w:asciiTheme="minorHAnsi" w:hAnsiTheme="minorHAnsi" w:cs="Calibri"/>
          <w:i/>
          <w:sz w:val="22"/>
          <w:szCs w:val="22"/>
        </w:rPr>
      </w:pPr>
      <w:bookmarkStart w:id="0" w:name="art13iii"/>
      <w:bookmarkEnd w:id="0"/>
      <w:r w:rsidRPr="00C932AE">
        <w:rPr>
          <w:rFonts w:asciiTheme="minorHAnsi" w:hAnsiTheme="minorHAnsi" w:cs="Calibri"/>
          <w:i/>
          <w:sz w:val="22"/>
          <w:szCs w:val="22"/>
          <w:lang w:val="pt-BR"/>
        </w:rPr>
        <w:t>III</w:t>
      </w:r>
      <w:r w:rsidRPr="00C932AE">
        <w:rPr>
          <w:rFonts w:asciiTheme="minorHAnsi" w:hAnsiTheme="minorHAnsi" w:cs="Calibri"/>
          <w:i/>
          <w:sz w:val="22"/>
          <w:szCs w:val="22"/>
        </w:rPr>
        <w:t> - </w:t>
      </w:r>
      <w:r w:rsidRPr="00C932AE">
        <w:rPr>
          <w:rFonts w:asciiTheme="minorHAnsi" w:hAnsiTheme="minorHAnsi" w:cs="Calibri"/>
          <w:i/>
          <w:sz w:val="22"/>
          <w:szCs w:val="22"/>
          <w:lang w:val="pt-BR"/>
        </w:rPr>
        <w:t>Assessorias ou consultorias técnicas e auditorias financeiras ou tributárias</w:t>
      </w:r>
      <w:proofErr w:type="gramStart"/>
      <w:r w:rsidRPr="00C932AE">
        <w:rPr>
          <w:rFonts w:asciiTheme="minorHAnsi" w:hAnsiTheme="minorHAnsi" w:cs="Calibri"/>
          <w:i/>
          <w:sz w:val="22"/>
          <w:szCs w:val="22"/>
          <w:lang w:val="pt-BR"/>
        </w:rPr>
        <w:t>;</w:t>
      </w:r>
      <w:r w:rsidRPr="00C932AE">
        <w:rPr>
          <w:rFonts w:asciiTheme="minorHAnsi" w:hAnsiTheme="minorHAnsi" w:cs="Calibri"/>
          <w:i/>
          <w:sz w:val="22"/>
          <w:szCs w:val="22"/>
        </w:rPr>
        <w:t>;</w:t>
      </w:r>
      <w:proofErr w:type="gramEnd"/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Demonstrada a necessidade da realização dos serviços e da contratação de profissionais estranhos ao quadro de funcionários efetivos da Prefeitura Municipal de Corrente, indispensável é a realização do procedimento administrativo.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O artigo 25, inciso II, da Lei de Licitações e Contratos Administrativos prevê que na contratação aqui pretendida, é inexigível a realização do procedimento licitatório mais complexo, respaldando a legalidade desta contratação, senão vejamos: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ind w:left="3366" w:right="113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932AE">
        <w:rPr>
          <w:rFonts w:asciiTheme="minorHAnsi" w:hAnsiTheme="minorHAnsi" w:cs="Calibri"/>
          <w:i/>
          <w:iCs/>
          <w:sz w:val="22"/>
          <w:szCs w:val="22"/>
        </w:rPr>
        <w:t>“Art. 25. É inexigível a licitação quando houver inviabilidade de competição, em especial:</w:t>
      </w:r>
    </w:p>
    <w:p w:rsidR="00C932AE" w:rsidRPr="00C932AE" w:rsidRDefault="00C932AE" w:rsidP="00C932AE">
      <w:pPr>
        <w:pStyle w:val="Recuodecorpodetexto"/>
        <w:ind w:left="3366" w:right="113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932AE">
        <w:rPr>
          <w:rFonts w:asciiTheme="minorHAnsi" w:hAnsiTheme="minorHAnsi" w:cs="Calibri"/>
          <w:i/>
          <w:iCs/>
          <w:sz w:val="22"/>
          <w:szCs w:val="22"/>
        </w:rPr>
        <w:t>(...)</w:t>
      </w:r>
    </w:p>
    <w:p w:rsidR="00C932AE" w:rsidRPr="00C932AE" w:rsidRDefault="00C932AE" w:rsidP="00C932AE">
      <w:pPr>
        <w:pStyle w:val="Recuodecorpodetexto"/>
        <w:ind w:left="3366" w:right="11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i/>
          <w:iCs/>
          <w:sz w:val="22"/>
          <w:szCs w:val="22"/>
        </w:rPr>
        <w:t>II – para a contratação de serviços técnicos enumerados no art. 13 desta Lei, de natureza singular, com profissional ou empresa de notória especialização, vedada a inexigibilidade para serviços de publicidade e divulgação;”</w:t>
      </w:r>
    </w:p>
    <w:p w:rsidR="00C932AE" w:rsidRPr="00C932AE" w:rsidRDefault="00C932AE" w:rsidP="00C932AE">
      <w:pPr>
        <w:pStyle w:val="NormalWeb"/>
        <w:ind w:firstLine="1701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Vale ressaltar que o Supremo Tribunal Federal, acolhendo voto do eminente Ministro Eros Grau, ao julgar questão sobre o tema, assim se manifestou:</w:t>
      </w:r>
    </w:p>
    <w:p w:rsidR="00C932AE" w:rsidRPr="00C932AE" w:rsidRDefault="00C932AE" w:rsidP="00C932AE">
      <w:pPr>
        <w:pStyle w:val="Recuodecorpodetexto"/>
        <w:ind w:left="3402" w:right="113"/>
        <w:jc w:val="both"/>
        <w:rPr>
          <w:rFonts w:asciiTheme="minorHAnsi" w:hAnsiTheme="minorHAnsi" w:cs="Calibri"/>
          <w:b/>
          <w:bCs/>
          <w:sz w:val="22"/>
          <w:szCs w:val="22"/>
          <w:lang w:val="pt-BR"/>
        </w:rPr>
      </w:pPr>
      <w:r w:rsidRPr="00C932AE">
        <w:rPr>
          <w:rFonts w:asciiTheme="minorHAnsi" w:hAnsiTheme="minorHAnsi" w:cs="Calibri"/>
          <w:b/>
          <w:bCs/>
          <w:sz w:val="22"/>
          <w:szCs w:val="22"/>
        </w:rPr>
        <w:t xml:space="preserve">“Serviços técnicos profissionais especializados são serviços que a Administração deve contratar sem licitação, escolhendo o contratado de acordo, em última instância, com grau de confiança que ela própria, Administração, deposite na especialização desse contratado. Nesses, casos, o requisito de confiança da Administração em que deseja contratar é </w:t>
      </w:r>
    </w:p>
    <w:p w:rsidR="00C932AE" w:rsidRPr="00C932AE" w:rsidRDefault="00C932AE" w:rsidP="00C932AE">
      <w:pPr>
        <w:pStyle w:val="Recuodecorpodetexto"/>
        <w:ind w:left="3402" w:right="11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b/>
          <w:bCs/>
          <w:sz w:val="22"/>
          <w:szCs w:val="22"/>
        </w:rPr>
        <w:t xml:space="preserve">subjetivo. Daí que a realização de procedimento licitatório para a contratação de tais serviços – procedimento regido, entre outros, pelo princípio do julgamento objetivo – é incompatível com a atribuição </w:t>
      </w:r>
      <w:r w:rsidRPr="00C932AE">
        <w:rPr>
          <w:rFonts w:asciiTheme="minorHAnsi" w:hAnsiTheme="minorHAnsi" w:cs="Calibri"/>
          <w:b/>
          <w:bCs/>
          <w:sz w:val="22"/>
          <w:szCs w:val="22"/>
        </w:rPr>
        <w:lastRenderedPageBreak/>
        <w:t>de exercício de subjetividade que o direito positivo confere à Administração para a escolha do “trabalho essencial e indiscutivelmente mais adequado à satisfação do objeto contratado” (</w:t>
      </w:r>
      <w:proofErr w:type="spellStart"/>
      <w:r w:rsidRPr="00C932AE">
        <w:rPr>
          <w:rFonts w:asciiTheme="minorHAnsi" w:hAnsiTheme="minorHAnsi" w:cs="Calibri"/>
          <w:b/>
          <w:bCs/>
          <w:sz w:val="22"/>
          <w:szCs w:val="22"/>
        </w:rPr>
        <w:t>cf.o</w:t>
      </w:r>
      <w:proofErr w:type="spellEnd"/>
      <w:r w:rsidRPr="00C932AE">
        <w:rPr>
          <w:rFonts w:asciiTheme="minorHAnsi" w:hAnsiTheme="minorHAnsi" w:cs="Calibri"/>
          <w:b/>
          <w:bCs/>
          <w:sz w:val="22"/>
          <w:szCs w:val="22"/>
        </w:rPr>
        <w:t xml:space="preserve"> § 1º do art. 25 da Lei 8.666/93).</w:t>
      </w: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Diante da documentação acostada aos autos, resta evidenciado que a contratação do escritório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 xml:space="preserve"> </w:t>
      </w:r>
      <w:r w:rsidRPr="00C932AE">
        <w:rPr>
          <w:rFonts w:asciiTheme="minorHAnsi" w:hAnsiTheme="minorHAnsi" w:cs="Calibri"/>
          <w:b/>
          <w:sz w:val="22"/>
          <w:szCs w:val="22"/>
        </w:rPr>
        <w:t xml:space="preserve">GUIMARÃES &amp; AMORIM ADVOGADOS ASSOCIADOS </w:t>
      </w:r>
      <w:r w:rsidRPr="00C932AE">
        <w:rPr>
          <w:rFonts w:asciiTheme="minorHAnsi" w:hAnsiTheme="minorHAnsi" w:cs="Calibri"/>
          <w:sz w:val="22"/>
          <w:szCs w:val="22"/>
        </w:rPr>
        <w:t xml:space="preserve"> é a mais adequada à plena satisfação dos fins buscados nesta contratação. Isso porque, analisando-se a documentação acostada ao presente processo pode-se perceber que os serviços prestados pelo referido escritório são singulares. 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Com relação à minuta do contrato administrativo, verifica-se que nela estão presentes todos os elementos legais necessários, exigidos no artigo 55, da Lei nº 8.666/93.</w:t>
      </w: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Por fim, ressalta-se que devem ser juntados aos autos do processo administrativo os comprovantes das publicações do contrato administrativo nos termos do parágrafo único do artigo 61, da Lei nº8.666/93.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  <w:lang w:val="pt-BR"/>
        </w:rPr>
      </w:pPr>
    </w:p>
    <w:p w:rsidR="00C932AE" w:rsidRPr="00C932AE" w:rsidRDefault="00C932AE" w:rsidP="00C932AE">
      <w:pPr>
        <w:pStyle w:val="Recuodecorpodetexto"/>
        <w:spacing w:after="0" w:line="360" w:lineRule="auto"/>
        <w:ind w:left="0" w:right="113" w:firstLine="1684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Desta forma, nos pronunciamos favoráveis a contratação direta do escritório </w:t>
      </w:r>
      <w:r w:rsidRPr="00C932AE">
        <w:rPr>
          <w:rFonts w:asciiTheme="minorHAnsi" w:hAnsiTheme="minorHAnsi" w:cs="Calibri"/>
          <w:b/>
          <w:sz w:val="22"/>
          <w:szCs w:val="22"/>
        </w:rPr>
        <w:t xml:space="preserve">GUIMARÃES &amp; AMORIM ADVOGADOS ASSOCIADOS </w:t>
      </w:r>
      <w:r w:rsidRPr="00C932AE">
        <w:rPr>
          <w:rFonts w:asciiTheme="minorHAnsi" w:hAnsiTheme="minorHAnsi" w:cs="Calibri"/>
          <w:sz w:val="22"/>
          <w:szCs w:val="22"/>
        </w:rPr>
        <w:t xml:space="preserve"> por entender ser inexigível a realização de procedimento licitatório mais complexo, nos termos da lei 8.666/93.</w:t>
      </w:r>
    </w:p>
    <w:p w:rsidR="00C932AE" w:rsidRPr="00C932AE" w:rsidRDefault="00C932AE" w:rsidP="00C932AE">
      <w:pPr>
        <w:pStyle w:val="Recuodecorpodetexto"/>
        <w:ind w:left="0" w:right="113" w:firstLine="1683"/>
        <w:jc w:val="both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É o parecer, </w:t>
      </w:r>
      <w:proofErr w:type="spellStart"/>
      <w:r w:rsidRPr="00C932AE">
        <w:rPr>
          <w:rFonts w:asciiTheme="minorHAnsi" w:hAnsiTheme="minorHAnsi" w:cs="Calibri"/>
          <w:sz w:val="22"/>
          <w:szCs w:val="22"/>
        </w:rPr>
        <w:t>s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>a</w:t>
      </w:r>
      <w:proofErr w:type="spellEnd"/>
      <w:r w:rsidRPr="00C932AE">
        <w:rPr>
          <w:rFonts w:asciiTheme="minorHAnsi" w:hAnsiTheme="minorHAnsi" w:cs="Calibri"/>
          <w:sz w:val="22"/>
          <w:szCs w:val="22"/>
        </w:rPr>
        <w:t xml:space="preserve">lvo melhor juízo. </w:t>
      </w:r>
    </w:p>
    <w:p w:rsidR="00C932AE" w:rsidRPr="00C932AE" w:rsidRDefault="00C932AE" w:rsidP="00C932AE">
      <w:pPr>
        <w:pStyle w:val="Recuodecorpodetexto"/>
        <w:tabs>
          <w:tab w:val="left" w:pos="8763"/>
        </w:tabs>
        <w:ind w:left="0" w:right="113"/>
        <w:jc w:val="center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Corrente (PI), </w:t>
      </w:r>
      <w:r w:rsidRPr="00C932AE">
        <w:rPr>
          <w:rFonts w:asciiTheme="minorHAnsi" w:hAnsiTheme="minorHAnsi" w:cs="Calibri"/>
          <w:sz w:val="22"/>
          <w:szCs w:val="22"/>
          <w:lang w:val="pt-BR"/>
        </w:rPr>
        <w:t xml:space="preserve">19 </w:t>
      </w:r>
      <w:r w:rsidRPr="00C932AE">
        <w:rPr>
          <w:rFonts w:asciiTheme="minorHAnsi" w:hAnsiTheme="minorHAnsi" w:cs="Calibri"/>
          <w:sz w:val="22"/>
          <w:szCs w:val="22"/>
        </w:rPr>
        <w:t>de janeiro de 2017.</w:t>
      </w:r>
    </w:p>
    <w:p w:rsidR="00C932AE" w:rsidRPr="00C932AE" w:rsidRDefault="00C932AE" w:rsidP="00C932AE">
      <w:pPr>
        <w:pStyle w:val="Recuodecorpodetexto"/>
        <w:ind w:left="0" w:right="113"/>
        <w:jc w:val="center"/>
        <w:rPr>
          <w:rFonts w:asciiTheme="minorHAnsi" w:hAnsiTheme="minorHAnsi" w:cs="Calibri"/>
          <w:sz w:val="22"/>
          <w:szCs w:val="22"/>
        </w:rPr>
      </w:pPr>
    </w:p>
    <w:p w:rsidR="00C932AE" w:rsidRPr="00C932AE" w:rsidRDefault="00C932AE" w:rsidP="00C932AE">
      <w:pPr>
        <w:pStyle w:val="Recuodecorpodetexto"/>
        <w:spacing w:after="0"/>
        <w:ind w:left="0" w:right="113"/>
        <w:jc w:val="center"/>
        <w:rPr>
          <w:rFonts w:asciiTheme="minorHAnsi" w:hAnsiTheme="minorHAnsi" w:cs="Calibr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>____________________________________</w:t>
      </w:r>
    </w:p>
    <w:p w:rsidR="00C932AE" w:rsidRPr="00C932AE" w:rsidRDefault="00C932AE" w:rsidP="00C932AE">
      <w:pPr>
        <w:rPr>
          <w:rFonts w:asciiTheme="minorHAnsi" w:hAnsiTheme="minorHAnsi"/>
          <w:sz w:val="22"/>
          <w:szCs w:val="22"/>
        </w:rPr>
      </w:pPr>
      <w:r w:rsidRPr="00C932AE">
        <w:rPr>
          <w:rFonts w:asciiTheme="minorHAnsi" w:hAnsiTheme="minorHAnsi" w:cs="Calibri"/>
          <w:sz w:val="22"/>
          <w:szCs w:val="22"/>
        </w:rPr>
        <w:t xml:space="preserve">                                                         </w:t>
      </w:r>
      <w:r w:rsidRPr="00C932AE">
        <w:rPr>
          <w:rFonts w:asciiTheme="minorHAnsi" w:hAnsiTheme="minorHAnsi"/>
          <w:sz w:val="22"/>
          <w:szCs w:val="22"/>
        </w:rPr>
        <w:t>Joel Pedreiras dos Santos Lopes Junior</w:t>
      </w:r>
    </w:p>
    <w:p w:rsidR="00C932AE" w:rsidRPr="00C932AE" w:rsidRDefault="00C932AE" w:rsidP="00C932AE">
      <w:pPr>
        <w:jc w:val="center"/>
        <w:rPr>
          <w:rFonts w:asciiTheme="minorHAnsi" w:hAnsiTheme="minorHAnsi"/>
          <w:sz w:val="22"/>
          <w:szCs w:val="22"/>
        </w:rPr>
      </w:pPr>
      <w:r w:rsidRPr="00C932AE">
        <w:rPr>
          <w:rFonts w:asciiTheme="minorHAnsi" w:hAnsiTheme="minorHAnsi"/>
          <w:sz w:val="22"/>
          <w:szCs w:val="22"/>
        </w:rPr>
        <w:t>Procurador Geral do Município</w:t>
      </w:r>
    </w:p>
    <w:p w:rsidR="00C932AE" w:rsidRPr="00C932AE" w:rsidRDefault="00C932AE" w:rsidP="00C932AE">
      <w:pPr>
        <w:pStyle w:val="Ttulo1"/>
        <w:suppressAutoHyphens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61606" w:rsidRDefault="00C61606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091417" w:rsidRDefault="00091417" w:rsidP="00C932AE">
      <w:pPr>
        <w:rPr>
          <w:rFonts w:asciiTheme="minorHAnsi" w:hAnsiTheme="minorHAnsi"/>
          <w:sz w:val="22"/>
          <w:szCs w:val="22"/>
        </w:rPr>
      </w:pPr>
    </w:p>
    <w:p w:rsidR="00091417" w:rsidRDefault="00091417" w:rsidP="00C932AE">
      <w:pPr>
        <w:rPr>
          <w:rFonts w:asciiTheme="minorHAnsi" w:hAnsiTheme="minorHAnsi"/>
          <w:sz w:val="22"/>
          <w:szCs w:val="22"/>
        </w:rPr>
      </w:pPr>
    </w:p>
    <w:p w:rsidR="00091417" w:rsidRDefault="00091417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C932AE" w:rsidRDefault="00C932AE" w:rsidP="00C932AE">
      <w:pPr>
        <w:rPr>
          <w:rFonts w:asciiTheme="minorHAnsi" w:hAnsiTheme="minorHAnsi"/>
          <w:sz w:val="22"/>
          <w:szCs w:val="22"/>
        </w:rPr>
      </w:pPr>
    </w:p>
    <w:p w:rsidR="00C932AE" w:rsidRPr="00C932AE" w:rsidRDefault="00C932AE" w:rsidP="00C932AE">
      <w:pPr>
        <w:jc w:val="both"/>
        <w:rPr>
          <w:b/>
          <w:sz w:val="24"/>
          <w:szCs w:val="24"/>
        </w:rPr>
      </w:pPr>
      <w:r w:rsidRPr="00C932AE">
        <w:rPr>
          <w:b/>
          <w:sz w:val="24"/>
          <w:szCs w:val="24"/>
        </w:rPr>
        <w:t>INEXIGIBILIDADE Nº 003/2017.</w:t>
      </w:r>
    </w:p>
    <w:p w:rsidR="00C932AE" w:rsidRPr="00C932AE" w:rsidRDefault="00C932AE" w:rsidP="00C932AE">
      <w:pPr>
        <w:jc w:val="both"/>
        <w:rPr>
          <w:sz w:val="24"/>
          <w:szCs w:val="24"/>
        </w:rPr>
      </w:pPr>
      <w:r w:rsidRPr="00C932AE">
        <w:rPr>
          <w:b/>
          <w:sz w:val="24"/>
          <w:szCs w:val="24"/>
        </w:rPr>
        <w:t xml:space="preserve">OBJETO: </w:t>
      </w:r>
      <w:r w:rsidRPr="00C932AE">
        <w:rPr>
          <w:bCs/>
          <w:sz w:val="24"/>
          <w:szCs w:val="24"/>
        </w:rPr>
        <w:t>Prestação de serviços técnicos profissionais de assessoria e consultoria jurídica de acompanhamento de processos de interesse do Município, junto ao poder Judiciário (Tribunal de Justiça do Estado do Piauí, TRT 22ª Região e TRF 1ª Região) bem como perante os Tribunais Superiores (STF, STJ e TST).</w:t>
      </w:r>
    </w:p>
    <w:p w:rsidR="00C932AE" w:rsidRPr="00C932AE" w:rsidRDefault="00C932AE" w:rsidP="00C932AE">
      <w:pPr>
        <w:jc w:val="center"/>
        <w:rPr>
          <w:b/>
          <w:sz w:val="24"/>
          <w:szCs w:val="24"/>
          <w:u w:val="single"/>
        </w:rPr>
      </w:pPr>
    </w:p>
    <w:p w:rsidR="00C932AE" w:rsidRPr="00C932AE" w:rsidRDefault="00C932AE" w:rsidP="00C932AE">
      <w:pPr>
        <w:jc w:val="center"/>
        <w:rPr>
          <w:b/>
          <w:sz w:val="24"/>
          <w:szCs w:val="24"/>
          <w:u w:val="single"/>
        </w:rPr>
      </w:pPr>
    </w:p>
    <w:p w:rsidR="00C932AE" w:rsidRPr="00C932AE" w:rsidRDefault="00C932AE" w:rsidP="00C932AE">
      <w:pPr>
        <w:jc w:val="center"/>
        <w:rPr>
          <w:b/>
          <w:sz w:val="24"/>
          <w:szCs w:val="24"/>
          <w:u w:val="single"/>
        </w:rPr>
      </w:pPr>
      <w:r w:rsidRPr="00C932AE">
        <w:rPr>
          <w:b/>
          <w:sz w:val="24"/>
          <w:szCs w:val="24"/>
          <w:u w:val="single"/>
        </w:rPr>
        <w:t>DESPACHO DE RATIFICAÇÃO</w:t>
      </w:r>
    </w:p>
    <w:p w:rsidR="00C932AE" w:rsidRPr="00C932AE" w:rsidRDefault="00C932AE" w:rsidP="00C932AE">
      <w:pPr>
        <w:pStyle w:val="Recuodecorpodetexto"/>
        <w:jc w:val="both"/>
      </w:pPr>
    </w:p>
    <w:p w:rsidR="00C932AE" w:rsidRPr="00C932AE" w:rsidRDefault="00C932AE" w:rsidP="00C932AE">
      <w:pPr>
        <w:pStyle w:val="Recuodecorpodetexto"/>
        <w:jc w:val="both"/>
      </w:pPr>
      <w:r w:rsidRPr="00C932AE">
        <w:t xml:space="preserve">                      O procedimento de inexigibilidade de licitação, nº </w:t>
      </w:r>
      <w:r w:rsidRPr="00C932AE">
        <w:t>00</w:t>
      </w:r>
      <w:r w:rsidRPr="00C932AE">
        <w:rPr>
          <w:lang w:val="pt-BR"/>
        </w:rPr>
        <w:t>3</w:t>
      </w:r>
      <w:r w:rsidRPr="00C932AE">
        <w:t xml:space="preserve">/2017 de que </w:t>
      </w:r>
      <w:bookmarkStart w:id="1" w:name="_GoBack"/>
      <w:bookmarkEnd w:id="1"/>
      <w:r w:rsidRPr="00C932AE">
        <w:t>trata este processo, objetivou a seleção da melhor proposta para a contratação de Serviços especializados de assessoria e consultoria jurídica. Foi em toda a sua tramitação atendida a legislação pertinente, consoante o Parecer da Central de Licitações Públicas e da Assessoria Jurídica deste Município.</w:t>
      </w:r>
    </w:p>
    <w:p w:rsidR="00C932AE" w:rsidRPr="00C932AE" w:rsidRDefault="00C932AE" w:rsidP="00C932AE">
      <w:pPr>
        <w:pStyle w:val="Recuodecorpodetexto"/>
        <w:jc w:val="both"/>
      </w:pPr>
      <w:r w:rsidRPr="00C932AE">
        <w:t xml:space="preserve"> </w:t>
      </w:r>
    </w:p>
    <w:p w:rsidR="00C932AE" w:rsidRPr="00C932AE" w:rsidRDefault="00C932AE" w:rsidP="00C932AE">
      <w:pPr>
        <w:pStyle w:val="Recuodecorpodetexto"/>
        <w:jc w:val="both"/>
      </w:pPr>
      <w:r w:rsidRPr="00C932AE">
        <w:t xml:space="preserve">                       Desse modo, satisfazendo à lei e ao mérito, </w:t>
      </w:r>
      <w:r w:rsidRPr="00C932AE">
        <w:rPr>
          <w:b/>
          <w:bCs/>
          <w:u w:val="single"/>
          <w:lang w:val="pt-BR"/>
        </w:rPr>
        <w:t>RATIFICO</w:t>
      </w:r>
      <w:r w:rsidRPr="00C932AE">
        <w:t xml:space="preserve"> o procedimento Inexigibilidade nº </w:t>
      </w:r>
      <w:r w:rsidRPr="00C932AE">
        <w:t>00</w:t>
      </w:r>
      <w:r w:rsidRPr="00C932AE">
        <w:rPr>
          <w:lang w:val="pt-BR"/>
        </w:rPr>
        <w:t>3</w:t>
      </w:r>
      <w:r w:rsidRPr="00C932AE">
        <w:t xml:space="preserve">/2017 e </w:t>
      </w:r>
      <w:r w:rsidRPr="00C932AE">
        <w:rPr>
          <w:b/>
          <w:bCs/>
          <w:u w:val="single"/>
        </w:rPr>
        <w:t>ADJUDICO</w:t>
      </w:r>
      <w:r w:rsidRPr="00C932AE">
        <w:t xml:space="preserve"> o objeto deste ao escritório </w:t>
      </w:r>
      <w:r w:rsidRPr="00C932AE">
        <w:rPr>
          <w:b/>
        </w:rPr>
        <w:t xml:space="preserve">GUIMARÃES &amp; AMORIM ADVOGADOS ASSOCIADOS </w:t>
      </w:r>
      <w:r w:rsidRPr="00C932AE">
        <w:t xml:space="preserve"> com o valor mensal de </w:t>
      </w:r>
      <w:r w:rsidRPr="00C932AE">
        <w:rPr>
          <w:lang w:val="pt-BR"/>
        </w:rPr>
        <w:t xml:space="preserve">R$ </w:t>
      </w:r>
      <w:r w:rsidRPr="00C932AE">
        <w:t>13.000,00 (treze mil reais),</w:t>
      </w:r>
      <w:r w:rsidRPr="00C932AE">
        <w:rPr>
          <w:b/>
        </w:rPr>
        <w:t xml:space="preserve"> </w:t>
      </w:r>
      <w:r w:rsidRPr="00C932AE">
        <w:rPr>
          <w:bCs/>
        </w:rPr>
        <w:t>conforme</w:t>
      </w:r>
      <w:r w:rsidRPr="00C932AE">
        <w:rPr>
          <w:b/>
        </w:rPr>
        <w:t xml:space="preserve"> </w:t>
      </w:r>
      <w:r w:rsidRPr="00C932AE">
        <w:t>documentos que instruem este processo.</w:t>
      </w:r>
    </w:p>
    <w:p w:rsidR="00C932AE" w:rsidRPr="00C932AE" w:rsidRDefault="00C932AE" w:rsidP="00C932AE">
      <w:pPr>
        <w:pStyle w:val="Recuodecorpodetexto"/>
        <w:jc w:val="both"/>
      </w:pPr>
      <w:r w:rsidRPr="00C932AE">
        <w:t xml:space="preserve"> </w:t>
      </w:r>
    </w:p>
    <w:p w:rsidR="00C932AE" w:rsidRPr="00C932AE" w:rsidRDefault="00C932AE" w:rsidP="00C932AE">
      <w:pPr>
        <w:pStyle w:val="Recuodecorpodetexto"/>
        <w:jc w:val="both"/>
      </w:pPr>
    </w:p>
    <w:p w:rsidR="00C932AE" w:rsidRPr="00C932AE" w:rsidRDefault="00C932AE" w:rsidP="00C932AE">
      <w:pPr>
        <w:pStyle w:val="Recuodecorpodetexto"/>
        <w:jc w:val="center"/>
      </w:pPr>
      <w:r w:rsidRPr="00C932AE">
        <w:t xml:space="preserve">Corrente (PI), </w:t>
      </w:r>
      <w:r w:rsidRPr="00C932AE">
        <w:rPr>
          <w:lang w:val="pt-BR"/>
        </w:rPr>
        <w:t xml:space="preserve"> 20 </w:t>
      </w:r>
      <w:r w:rsidRPr="00C932AE">
        <w:t>de janeiro de 2017.</w:t>
      </w:r>
    </w:p>
    <w:p w:rsidR="00C932AE" w:rsidRPr="00C932AE" w:rsidRDefault="00C932AE" w:rsidP="00C932AE">
      <w:pPr>
        <w:pStyle w:val="Recuodecorpodetexto"/>
        <w:jc w:val="center"/>
      </w:pPr>
    </w:p>
    <w:p w:rsidR="00C932AE" w:rsidRPr="00C932AE" w:rsidRDefault="00C932AE" w:rsidP="00C932AE">
      <w:pPr>
        <w:pStyle w:val="Recuodecorpodetexto"/>
        <w:jc w:val="center"/>
      </w:pPr>
    </w:p>
    <w:p w:rsidR="00C932AE" w:rsidRPr="00C932AE" w:rsidRDefault="00C932AE" w:rsidP="00C932AE">
      <w:pPr>
        <w:pStyle w:val="Recuodecorpodetexto"/>
        <w:spacing w:after="0"/>
        <w:jc w:val="center"/>
        <w:rPr>
          <w:b/>
          <w:lang w:val="pt-BR"/>
        </w:rPr>
      </w:pPr>
      <w:r w:rsidRPr="00C932AE">
        <w:rPr>
          <w:b/>
          <w:lang w:val="pt-BR"/>
        </w:rPr>
        <w:t>Gladson Murilo Mascarenhas Ribeiro</w:t>
      </w:r>
    </w:p>
    <w:p w:rsidR="00C932AE" w:rsidRPr="00C932AE" w:rsidRDefault="00C932AE" w:rsidP="00C932AE">
      <w:pPr>
        <w:pStyle w:val="Recuodecorpodetexto"/>
        <w:spacing w:after="0"/>
        <w:jc w:val="center"/>
        <w:rPr>
          <w:b/>
        </w:rPr>
      </w:pPr>
      <w:r w:rsidRPr="00C932AE">
        <w:rPr>
          <w:b/>
        </w:rPr>
        <w:t>Prefeito Municipal</w:t>
      </w:r>
    </w:p>
    <w:p w:rsidR="00C932AE" w:rsidRPr="00C932AE" w:rsidRDefault="00C932AE" w:rsidP="00C932AE">
      <w:pPr>
        <w:rPr>
          <w:rFonts w:asciiTheme="minorHAnsi" w:hAnsiTheme="minorHAnsi"/>
          <w:sz w:val="22"/>
          <w:szCs w:val="22"/>
          <w:lang w:val="x-none"/>
        </w:rPr>
      </w:pPr>
    </w:p>
    <w:sectPr w:rsidR="00C932AE" w:rsidRPr="00C932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18" w:rsidRDefault="002D1C18" w:rsidP="00C932AE">
      <w:r>
        <w:separator/>
      </w:r>
    </w:p>
  </w:endnote>
  <w:endnote w:type="continuationSeparator" w:id="0">
    <w:p w:rsidR="002D1C18" w:rsidRDefault="002D1C18" w:rsidP="00C9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18" w:rsidRDefault="002D1C18" w:rsidP="00C932AE">
      <w:r>
        <w:separator/>
      </w:r>
    </w:p>
  </w:footnote>
  <w:footnote w:type="continuationSeparator" w:id="0">
    <w:p w:rsidR="002D1C18" w:rsidRDefault="002D1C18" w:rsidP="00C9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AE" w:rsidRPr="005A7F50" w:rsidRDefault="00C932AE" w:rsidP="00C932AE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4930140</wp:posOffset>
              </wp:positionH>
              <wp:positionV relativeFrom="paragraph">
                <wp:posOffset>-12065</wp:posOffset>
              </wp:positionV>
              <wp:extent cx="1077595" cy="571500"/>
              <wp:effectExtent l="5715" t="6985" r="1206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2AE" w:rsidRPr="00675ACE" w:rsidRDefault="00C932AE" w:rsidP="00C932AE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C932AE" w:rsidRDefault="00C932AE" w:rsidP="00C932AE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C932AE" w:rsidRPr="00675ACE" w:rsidRDefault="00C932AE" w:rsidP="00C932AE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88.2pt;margin-top:-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">
              <v:textbox>
                <w:txbxContent>
                  <w:p w:rsidR="00C932AE" w:rsidRPr="00675ACE" w:rsidRDefault="00C932AE" w:rsidP="00C932AE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sz w:val="22"/>
                        <w:szCs w:val="22"/>
                        <w:lang w:val="en-US"/>
                      </w:rPr>
                      <w:t>._________</w:t>
                    </w:r>
                  </w:p>
                  <w:p w:rsidR="00C932AE" w:rsidRDefault="00C932AE" w:rsidP="00C932AE">
                    <w:pPr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C932AE" w:rsidRPr="00675ACE" w:rsidRDefault="00C932AE" w:rsidP="00C932AE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-202565</wp:posOffset>
          </wp:positionV>
          <wp:extent cx="1000125" cy="869950"/>
          <wp:effectExtent l="0" t="0" r="9525" b="635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F50">
      <w:rPr>
        <w:rFonts w:ascii="Calibri" w:hAnsi="Calibri" w:cs="Calibri"/>
        <w:b/>
        <w:sz w:val="24"/>
        <w:szCs w:val="24"/>
      </w:rPr>
      <w:t>PREFEITURA MUNICIPAL DE CORRENTE – PIAUÍ</w:t>
    </w:r>
  </w:p>
  <w:p w:rsidR="00C932AE" w:rsidRPr="005A7F50" w:rsidRDefault="00C932AE" w:rsidP="00C932AE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 w:rsidRPr="005A7F50">
      <w:rPr>
        <w:rFonts w:ascii="Calibri" w:hAnsi="Calibri" w:cs="Calibri"/>
        <w:b/>
        <w:sz w:val="24"/>
        <w:szCs w:val="24"/>
      </w:rPr>
      <w:t xml:space="preserve">AV. Manoel Lourenço Cavalcante, 600 – Bairro Nova </w:t>
    </w:r>
    <w:proofErr w:type="gramStart"/>
    <w:r w:rsidRPr="005A7F50">
      <w:rPr>
        <w:rFonts w:ascii="Calibri" w:hAnsi="Calibri" w:cs="Calibri"/>
        <w:b/>
        <w:sz w:val="24"/>
        <w:szCs w:val="24"/>
      </w:rPr>
      <w:t>Corrente</w:t>
    </w:r>
    <w:proofErr w:type="gramEnd"/>
  </w:p>
  <w:p w:rsidR="00C932AE" w:rsidRPr="005A7F50" w:rsidRDefault="00C932AE" w:rsidP="00C932AE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 w:rsidRPr="005A7F50">
      <w:rPr>
        <w:rFonts w:ascii="Calibri" w:hAnsi="Calibri" w:cs="Calibri"/>
        <w:b/>
        <w:sz w:val="24"/>
        <w:szCs w:val="24"/>
      </w:rPr>
      <w:t>Fone: 89-3573-1285 – CEP 64980-000 - Corrente – Piauí</w:t>
    </w:r>
  </w:p>
  <w:p w:rsidR="00C932AE" w:rsidRPr="005A7F50" w:rsidRDefault="00C932AE" w:rsidP="00C932AE">
    <w:pPr>
      <w:pStyle w:val="Cabealho"/>
      <w:tabs>
        <w:tab w:val="left" w:pos="708"/>
      </w:tabs>
      <w:ind w:left="1418"/>
      <w:rPr>
        <w:rFonts w:ascii="Calibri" w:hAnsi="Calibri" w:cs="Calibri"/>
        <w:b/>
        <w:sz w:val="24"/>
        <w:szCs w:val="24"/>
      </w:rPr>
    </w:pPr>
    <w:r w:rsidRPr="005A7F50">
      <w:rPr>
        <w:rFonts w:ascii="Calibri" w:hAnsi="Calibri" w:cs="Calibri"/>
        <w:b/>
        <w:sz w:val="24"/>
        <w:szCs w:val="24"/>
      </w:rPr>
      <w:t>CNPJ Nº 06.554.257/0001-71</w:t>
    </w:r>
  </w:p>
  <w:p w:rsidR="00C932AE" w:rsidRDefault="00C93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AE"/>
    <w:rsid w:val="00091417"/>
    <w:rsid w:val="002D1C18"/>
    <w:rsid w:val="00C61606"/>
    <w:rsid w:val="00C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932AE"/>
    <w:pPr>
      <w:keepNext/>
      <w:outlineLvl w:val="0"/>
    </w:pPr>
    <w:rPr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32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932AE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932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Web">
    <w:name w:val="Normal (Web)"/>
    <w:basedOn w:val="Normal"/>
    <w:uiPriority w:val="99"/>
    <w:rsid w:val="00C932AE"/>
    <w:pPr>
      <w:suppressAutoHyphens/>
      <w:spacing w:before="100" w:after="100"/>
    </w:pPr>
    <w:rPr>
      <w:sz w:val="24"/>
      <w:szCs w:val="24"/>
      <w:lang w:eastAsia="ar-SA"/>
    </w:rPr>
  </w:style>
  <w:style w:type="paragraph" w:styleId="Textoembloco">
    <w:name w:val="Block Text"/>
    <w:basedOn w:val="Normal"/>
    <w:uiPriority w:val="99"/>
    <w:rsid w:val="00C932AE"/>
    <w:pPr>
      <w:tabs>
        <w:tab w:val="left" w:pos="1683"/>
        <w:tab w:val="left" w:pos="2057"/>
      </w:tabs>
      <w:spacing w:line="360" w:lineRule="auto"/>
      <w:ind w:left="851" w:right="284"/>
      <w:jc w:val="both"/>
    </w:pPr>
    <w:rPr>
      <w:rFonts w:ascii="Century Gothic" w:hAnsi="Century Gothic" w:cs="Arial"/>
      <w:sz w:val="22"/>
      <w:szCs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C93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C93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2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2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932AE"/>
    <w:pPr>
      <w:keepNext/>
      <w:outlineLvl w:val="0"/>
    </w:pPr>
    <w:rPr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32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932AE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932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Web">
    <w:name w:val="Normal (Web)"/>
    <w:basedOn w:val="Normal"/>
    <w:uiPriority w:val="99"/>
    <w:rsid w:val="00C932AE"/>
    <w:pPr>
      <w:suppressAutoHyphens/>
      <w:spacing w:before="100" w:after="100"/>
    </w:pPr>
    <w:rPr>
      <w:sz w:val="24"/>
      <w:szCs w:val="24"/>
      <w:lang w:eastAsia="ar-SA"/>
    </w:rPr>
  </w:style>
  <w:style w:type="paragraph" w:styleId="Textoembloco">
    <w:name w:val="Block Text"/>
    <w:basedOn w:val="Normal"/>
    <w:uiPriority w:val="99"/>
    <w:rsid w:val="00C932AE"/>
    <w:pPr>
      <w:tabs>
        <w:tab w:val="left" w:pos="1683"/>
        <w:tab w:val="left" w:pos="2057"/>
      </w:tabs>
      <w:spacing w:line="360" w:lineRule="auto"/>
      <w:ind w:left="851" w:right="284"/>
      <w:jc w:val="both"/>
    </w:pPr>
    <w:rPr>
      <w:rFonts w:ascii="Century Gothic" w:hAnsi="Century Gothic" w:cs="Arial"/>
      <w:sz w:val="22"/>
      <w:szCs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C93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C93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2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2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1379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2</cp:revision>
  <dcterms:created xsi:type="dcterms:W3CDTF">2017-08-22T13:29:00Z</dcterms:created>
  <dcterms:modified xsi:type="dcterms:W3CDTF">2017-08-22T13:35:00Z</dcterms:modified>
</cp:coreProperties>
</file>